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4F944" w14:textId="5E3B7CA9" w:rsidR="00CD07AC" w:rsidRDefault="00CD07AC"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Home Access Financial</w:t>
      </w:r>
      <w:r w:rsidR="00F41396">
        <w:rPr>
          <w:rFonts w:ascii="Arial" w:hAnsi="Arial" w:cs="Arial"/>
          <w:color w:val="666666"/>
          <w:sz w:val="18"/>
          <w:szCs w:val="18"/>
        </w:rPr>
        <w:t xml:space="preserve"> LLC</w:t>
      </w:r>
      <w:r>
        <w:rPr>
          <w:rFonts w:ascii="Arial" w:hAnsi="Arial" w:cs="Arial"/>
          <w:color w:val="666666"/>
          <w:sz w:val="18"/>
          <w:szCs w:val="18"/>
        </w:rPr>
        <w:t>, 100 S. Ashley Dr. Ste. 1150, Tampa Florida 33602 NMLS #</w:t>
      </w:r>
      <w:r w:rsidRPr="00CD07AC">
        <w:rPr>
          <w:rFonts w:ascii="Arial" w:hAnsi="Arial" w:cs="Arial"/>
          <w:color w:val="666666"/>
          <w:sz w:val="18"/>
          <w:szCs w:val="18"/>
        </w:rPr>
        <w:t>1516011</w:t>
      </w:r>
    </w:p>
    <w:p w14:paraId="6A12B027" w14:textId="0F880591" w:rsidR="00D079B5" w:rsidRDefault="00C36760"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 xml:space="preserve">North Carolina Branch, </w:t>
      </w:r>
      <w:r w:rsidR="00192EF7">
        <w:rPr>
          <w:rFonts w:ascii="Arial" w:hAnsi="Arial" w:cs="Arial"/>
          <w:color w:val="666666"/>
          <w:sz w:val="18"/>
          <w:szCs w:val="18"/>
        </w:rPr>
        <w:t xml:space="preserve">15905 Brookway Dr., Ste. </w:t>
      </w:r>
      <w:r w:rsidR="003117C7">
        <w:rPr>
          <w:rFonts w:ascii="Arial" w:hAnsi="Arial" w:cs="Arial"/>
          <w:color w:val="666666"/>
          <w:sz w:val="18"/>
          <w:szCs w:val="18"/>
        </w:rPr>
        <w:t>4203B, Huntersville, NC 28078</w:t>
      </w:r>
      <w:r w:rsidR="003B628A">
        <w:rPr>
          <w:rFonts w:ascii="Arial" w:hAnsi="Arial" w:cs="Arial"/>
          <w:color w:val="666666"/>
          <w:sz w:val="18"/>
          <w:szCs w:val="18"/>
        </w:rPr>
        <w:t>, State License #L-205485</w:t>
      </w:r>
    </w:p>
    <w:p w14:paraId="5F6EA3DD" w14:textId="266FF27E" w:rsidR="0037547C" w:rsidRDefault="00CD07AC" w:rsidP="00CD07AC">
      <w:pPr>
        <w:pStyle w:val="NormalWeb"/>
        <w:shd w:val="clear" w:color="auto" w:fill="FFFFFF"/>
        <w:spacing w:before="0" w:beforeAutospacing="0" w:after="150" w:afterAutospacing="0"/>
        <w:jc w:val="center"/>
      </w:pPr>
      <w:r>
        <w:rPr>
          <w:rFonts w:ascii="Arial" w:hAnsi="Arial" w:cs="Arial"/>
          <w:color w:val="666666"/>
          <w:sz w:val="18"/>
          <w:szCs w:val="18"/>
        </w:rPr>
        <w:t> In accordance with the Equal Credit Opportunity Act,  Home Access Financial</w:t>
      </w:r>
      <w:r w:rsidR="00F41396">
        <w:rPr>
          <w:rFonts w:ascii="Arial" w:hAnsi="Arial" w:cs="Arial"/>
          <w:color w:val="666666"/>
          <w:sz w:val="18"/>
          <w:szCs w:val="18"/>
        </w:rPr>
        <w:t xml:space="preserve"> LLC</w:t>
      </w:r>
      <w:r>
        <w:rPr>
          <w:rFonts w:ascii="Arial" w:hAnsi="Arial" w:cs="Arial"/>
          <w:color w:val="666666"/>
          <w:sz w:val="18"/>
          <w:szCs w:val="18"/>
        </w:rPr>
        <w:t xml:space="preserve"> does not discriminate against any applicant on the basis of race; color; religion; creed; national origin; ancestry; sex; marital status; familial status (number and age of children); sexual orientation; age (provided that the applicant has the capacity to enter into a binding agreement); medical history; disability; physical condition; military status; because the applicant has in good faith exercised any right under the Consumer Credit Protection Act or the Service members Civil Relief Act (SCRA); that all or part of a consumer's income derives from a public assistance program; or any other basis prohibited by law. Interest rates and products are subject to change without notice and may or may not be available at the time of loan commitment or lock-in. Borrowers must qualify at closing for all benefits</w:t>
      </w:r>
    </w:p>
    <w:sectPr w:rsidR="0037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AC"/>
    <w:rsid w:val="001120E9"/>
    <w:rsid w:val="00192EF7"/>
    <w:rsid w:val="001E1ED2"/>
    <w:rsid w:val="00276B5E"/>
    <w:rsid w:val="002B387D"/>
    <w:rsid w:val="003117C7"/>
    <w:rsid w:val="0037547C"/>
    <w:rsid w:val="003B628A"/>
    <w:rsid w:val="004E5B7A"/>
    <w:rsid w:val="00645093"/>
    <w:rsid w:val="007C03B3"/>
    <w:rsid w:val="008B100D"/>
    <w:rsid w:val="00BC4161"/>
    <w:rsid w:val="00C36760"/>
    <w:rsid w:val="00CD07AC"/>
    <w:rsid w:val="00D079B5"/>
    <w:rsid w:val="00EB7E5B"/>
    <w:rsid w:val="00F41396"/>
    <w:rsid w:val="00F7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328"/>
  <w15:chartTrackingRefBased/>
  <w15:docId w15:val="{28E7A8A1-4D0E-48E5-81A7-D3255DB7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58054">
      <w:bodyDiv w:val="1"/>
      <w:marLeft w:val="0"/>
      <w:marRight w:val="0"/>
      <w:marTop w:val="0"/>
      <w:marBottom w:val="0"/>
      <w:divBdr>
        <w:top w:val="none" w:sz="0" w:space="0" w:color="auto"/>
        <w:left w:val="none" w:sz="0" w:space="0" w:color="auto"/>
        <w:bottom w:val="none" w:sz="0" w:space="0" w:color="auto"/>
        <w:right w:val="none" w:sz="0" w:space="0" w:color="auto"/>
      </w:divBdr>
    </w:div>
    <w:div w:id="12559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Mizell</dc:creator>
  <cp:keywords/>
  <dc:description/>
  <cp:lastModifiedBy>Carrie Gordon</cp:lastModifiedBy>
  <cp:revision>6</cp:revision>
  <dcterms:created xsi:type="dcterms:W3CDTF">2024-06-03T16:45:00Z</dcterms:created>
  <dcterms:modified xsi:type="dcterms:W3CDTF">2024-06-03T18:48:00Z</dcterms:modified>
</cp:coreProperties>
</file>